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RESOLUÇÃO - CPG Nº 11/2024</w:t>
      </w:r>
    </w:p>
    <w:p>
      <w:pPr>
        <w:pStyle w:val="Normal"/>
        <w:spacing w:before="360" w:after="360"/>
        <w:ind w:left="4253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Substitui a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RESOLUÇÃO – CPG Nº 11/2019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que determina as regras de conversão do rendimento acadêmico para os conceitos a serem atribuídos em cada disciplina cursada pelos discentes e o aproveitamento de disciplinas cursadas fora do período da matrícula regular.</w:t>
      </w:r>
    </w:p>
    <w:p>
      <w:pPr>
        <w:pStyle w:val="Default"/>
        <w:spacing w:before="120" w:after="120"/>
        <w:ind w:firstLine="1418"/>
        <w:jc w:val="both"/>
        <w:rPr>
          <w:color w:val="auto"/>
        </w:rPr>
      </w:pPr>
      <w:r>
        <w:rPr>
          <w:rFonts w:eastAsia="Calibri" w:cs="Times New Roman" w:ascii="Times New Roman" w:hAnsi="Times New Roman" w:eastAsiaTheme="minorHAnsi"/>
          <w:color w:val="auto"/>
          <w:lang w:eastAsia="en-US"/>
        </w:rPr>
        <w:t xml:space="preserve">A Coordenadoria Colegiada do Programa de Pós-Graduação em Gestão Organizacional </w:t>
      </w:r>
      <w:r>
        <w:rPr>
          <w:rFonts w:eastAsia="Calibri" w:cs="Times New Roman" w:ascii="Times New Roman" w:hAnsi="Times New Roman" w:eastAsiaTheme="minorHAnsi"/>
          <w:i/>
          <w:color w:val="auto"/>
          <w:lang w:eastAsia="en-US"/>
        </w:rPr>
        <w:t>Stricto Sensu</w:t>
      </w:r>
      <w:r>
        <w:rPr>
          <w:rFonts w:eastAsia="Calibri" w:cs="Times New Roman" w:ascii="Times New Roman" w:hAnsi="Times New Roman" w:eastAsiaTheme="minorHAnsi"/>
          <w:color w:val="auto"/>
          <w:lang w:eastAsia="en-US"/>
        </w:rPr>
        <w:t xml:space="preserve"> – da Universidade Federal de Catalão, usando de suas atribuições, objetivando atender o disposto no Art. 37 da Resolução CONSEPEC Nº 007/2023, </w:t>
      </w:r>
      <w:r>
        <w:rPr>
          <w:rFonts w:eastAsia="Calibri" w:cs="Times New Roman" w:ascii="Times New Roman" w:hAnsi="Times New Roman" w:eastAsiaTheme="minorHAnsi"/>
          <w:b/>
          <w:bCs/>
          <w:color w:val="auto"/>
          <w:lang w:eastAsia="en-US"/>
        </w:rPr>
        <w:t>RESOLVE:</w:t>
      </w:r>
    </w:p>
    <w:p>
      <w:pPr>
        <w:pStyle w:val="Default"/>
        <w:spacing w:before="120" w:after="120"/>
        <w:ind w:firstLine="1418"/>
        <w:jc w:val="both"/>
        <w:rPr>
          <w:color w:val="auto"/>
        </w:rPr>
      </w:pPr>
      <w:r>
        <w:rPr>
          <w:rFonts w:cs="Times New Roman" w:ascii="Times New Roman" w:hAnsi="Times New Roman"/>
          <w:b/>
          <w:color w:val="auto"/>
        </w:rPr>
        <w:t>Art. 1º</w:t>
      </w:r>
      <w:r>
        <w:rPr>
          <w:rFonts w:cs="Times New Roman" w:ascii="Times New Roman" w:hAnsi="Times New Roman"/>
          <w:color w:val="auto"/>
        </w:rPr>
        <w:t xml:space="preserve"> Aprovar as regras de conversão do rendimento acadêmico a serem atribuídos pelos docentes aos discentes em cada disciplina cursada de acordo com os conceitos:</w:t>
      </w:r>
    </w:p>
    <w:p>
      <w:pPr>
        <w:pStyle w:val="Default"/>
        <w:spacing w:before="120" w:after="120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W w:w="80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60"/>
        <w:gridCol w:w="4394"/>
        <w:gridCol w:w="2126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2"/>
              </w:numPr>
              <w:tabs>
                <w:tab w:val="clear" w:pos="708"/>
                <w:tab w:val="left" w:pos="-360" w:leader="none"/>
              </w:tabs>
              <w:snapToGrid w:val="false"/>
              <w:spacing w:before="120" w:after="120"/>
              <w:ind w:firstLine="720" w:left="-720"/>
              <w:rPr>
                <w:color w:val="auto"/>
              </w:rPr>
            </w:pPr>
            <w:r>
              <w:rPr>
                <w:rFonts w:ascii="Times New Roman" w:hAnsi="Times New Roman"/>
                <w:bCs w:val="false"/>
                <w:color w:val="auto"/>
                <w:spacing w:val="40"/>
                <w:sz w:val="24"/>
                <w:szCs w:val="24"/>
                <w:lang w:eastAsia="ar-SA"/>
              </w:rPr>
              <w:t>Conceito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pacing w:val="40"/>
                <w:sz w:val="24"/>
                <w:szCs w:val="24"/>
              </w:rPr>
              <w:t>Significado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  <w:spacing w:val="40"/>
                <w:sz w:val="24"/>
                <w:szCs w:val="24"/>
              </w:rPr>
              <w:t>Rendimento Acadêmico</w:t>
            </w:r>
          </w:p>
        </w:tc>
      </w:tr>
      <w:tr>
        <w:trPr/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2"/>
              </w:numPr>
              <w:snapToGrid w:val="false"/>
              <w:spacing w:before="120" w:after="120"/>
              <w:rPr>
                <w:color w:val="auto"/>
              </w:rPr>
            </w:pPr>
            <w:r>
              <w:rPr>
                <w:rFonts w:ascii="Times New Roman" w:hAnsi="Times New Roman"/>
                <w:bCs w:val="false"/>
                <w:color w:val="auto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</w:rPr>
              <w:t>Muito Bom, aprovado, com direito ao crédito.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9,0 a 10,0</w:t>
            </w:r>
          </w:p>
        </w:tc>
      </w:tr>
      <w:tr>
        <w:trPr/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2"/>
              </w:numPr>
              <w:snapToGrid w:val="false"/>
              <w:spacing w:before="120" w:after="120"/>
              <w:rPr>
                <w:color w:val="auto"/>
              </w:rPr>
            </w:pPr>
            <w:r>
              <w:rPr>
                <w:rFonts w:ascii="Times New Roman" w:hAnsi="Times New Roman"/>
                <w:bCs w:val="false"/>
                <w:color w:val="auto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</w:rPr>
              <w:t>Bom, aprovado, com direito ao crédito.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7,5 a 8,9</w:t>
            </w:r>
          </w:p>
        </w:tc>
      </w:tr>
      <w:tr>
        <w:trPr/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z w:val="24"/>
                <w:szCs w:val="24"/>
              </w:rPr>
              <w:t>C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</w:rPr>
              <w:t>Regular, aprovado, com direito ao crédito.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6,0 a 7,4</w:t>
            </w:r>
          </w:p>
        </w:tc>
      </w:tr>
      <w:tr>
        <w:trPr/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z w:val="24"/>
                <w:szCs w:val="24"/>
              </w:rPr>
              <w:t>D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</w:rPr>
              <w:t>Insuficiente, reprovado, sem direito ao crédito.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0,0 a 5,9</w:t>
            </w:r>
          </w:p>
        </w:tc>
      </w:tr>
    </w:tbl>
    <w:p>
      <w:pPr>
        <w:pStyle w:val="Default"/>
        <w:spacing w:before="120" w:after="120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before="120" w:after="120"/>
        <w:ind w:firstLine="1418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Parágrafo único: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os conceitos atribuídos aos discentes deverão ser contabilizados pelo docente responsável pela disciplina junto ao sistema de controle acadêmico da universidade.</w:t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708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Art. 02.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Aprovar as regras para aproveitamento de disciplinas cursadas pelos discentes do Programa de Pós-Graduação em Gestão Organizacional em outros PPGs – Programas de Pós-graduação e no próprio PPGGO que ocorreram em períodos anteriores ao da atual matrícula, mediante manifestação do discente interessado de acordo com os seguintes parâmetros: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§ 1º. Considera-se aproveitamento, para os fins previstos neste Regulamento, a aceitação de créditos relativos a disciplinas cursadas pelo discente, nas quais obteve aprovação em Programas de Pós-Graduação devidamente reconhecidos e que sejam avaliados pela CAPES com conceito igual ou superior ao do Programa de Pós-Graduação em Gestão Organizacional, além de disciplinas cursadas no próprio PPGGO em períodos anteriores ao da atual matrícula.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§ 2º. O requerimento deverá ser encaminhado em formulário específico à CPG, acompanhado do Histórico Acadêmico, ementas, carga horária e programas formal das disciplinas cursadas expedido pela instituição de origem.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§ 3º. É vedado o aproveitamento de créditos atribuídos a atividades complementares.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§ 4º. As disciplinas aproveitadas serão registradas no histórico acadêmico com a indicação de aproveitamento de disciplina “AD” e o número de créditos correspondentes.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§ 5º. Deverão ser registrados no histórico acadêmico do(a) discente o nome do(s) Programa(s) e da(s) IES no(s) qual(is) cursou a(s) disciplina(s), objeto de aproveitamento e a data de homologação pela CPG.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§ 6º. O período máximo compreendido entre a conclusão da disciplina e a solicitação de aproveitamento da mesma não pode ultrapassar 04 (quatro) anos. 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§ 7º O número máximo de disciplinas passíveis de aproveitamento será de 03 (três) disciplinas, sendo que cada disciplina corresponderá no máximo a 04 (quatro) créditos. Entende-se no caso, que cada crédito corresponde a 16 h/a.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§ 8º O número máximo de créditos a ser obtido mediante aproveitamento de disciplinas cursadas em outros Programas de Pós-Graduação e no próprio PPGGO em períodos anteriores ao da atual matrícula, não contemplará as disciplinas obrigatórias do PPGGO, independentemente de onde estas tenham sido cursadas.</w:t>
      </w:r>
    </w:p>
    <w:p>
      <w:pPr>
        <w:pStyle w:val="Normal"/>
        <w:spacing w:before="120" w:after="120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§ 9º O aproveitamento de créditos atrelados a qualquer disciplina cursada pelo interessado, está condicionado: à anuência do professor orientador do discente em sua atual matrícula; à conferência da carga horária da disciplina em questão, de documentos comprobatórios pela secretaria do PPGGO; anuência administrativa da coordenação do PPGGO e aprovação pelo colegiado do PPGGO em reunião ordinária ou extraordinária se for o caso.</w:t>
      </w:r>
    </w:p>
    <w:p>
      <w:pPr>
        <w:pStyle w:val="Normal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120" w:after="120"/>
        <w:ind w:firstLine="1418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Art. 2º Esta resolução entra em vigor nesta data.</w:t>
      </w:r>
    </w:p>
    <w:p>
      <w:pPr>
        <w:pStyle w:val="CM6"/>
        <w:tabs>
          <w:tab w:val="clear" w:pos="708"/>
          <w:tab w:val="left" w:pos="7092" w:leader="none"/>
        </w:tabs>
        <w:spacing w:before="0" w:after="120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</w:rPr>
        <w:t xml:space="preserve">Catalão, </w:t>
      </w:r>
      <w:r>
        <w:rPr>
          <w:rFonts w:cs="Times New Roman" w:ascii="Times New Roman" w:hAnsi="Times New Roman"/>
          <w:color w:val="auto"/>
        </w:rPr>
        <w:t>8</w:t>
      </w:r>
      <w:r>
        <w:rPr>
          <w:rFonts w:cs="Times New Roman" w:ascii="Times New Roman" w:hAnsi="Times New Roman"/>
          <w:color w:val="auto"/>
        </w:rPr>
        <w:t xml:space="preserve"> de </w:t>
      </w:r>
      <w:r>
        <w:rPr>
          <w:rFonts w:cs="Times New Roman" w:ascii="Times New Roman" w:hAnsi="Times New Roman"/>
          <w:color w:val="auto"/>
        </w:rPr>
        <w:t>maio</w:t>
      </w:r>
      <w:r>
        <w:rPr>
          <w:rFonts w:cs="Times New Roman" w:ascii="Times New Roman" w:hAnsi="Times New Roman"/>
          <w:color w:val="auto"/>
        </w:rPr>
        <w:t xml:space="preserve"> de 2025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CM1"/>
        <w:spacing w:lineRule="auto" w:line="24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</w:rPr>
        <w:t>________________________________</w:t>
      </w:r>
    </w:p>
    <w:p>
      <w:pPr>
        <w:pStyle w:val="CM1"/>
        <w:spacing w:lineRule="auto" w:line="240"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>Coordenadoria do PPGGO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TE19AA008t00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849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121"/>
      <w:gridCol w:w="3970"/>
      <w:gridCol w:w="2403"/>
    </w:tblGrid>
    <w:tr>
      <w:trPr/>
      <w:tc>
        <w:tcPr>
          <w:tcW w:w="212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12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/>
              <w:kern w:val="0"/>
              <w:lang w:val="pt-BR" w:eastAsia="en-US" w:bidi="ar-SA"/>
            </w:rPr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72pt;height:72pt;mso-wrap-distance-right:0pt" filled="f" o:ole="">
                <v:imagedata r:id="rId2" o:title=""/>
              </v:shape>
              <o:OLEObject Type="Embed" ProgID="Word.Picture.8" ShapeID="ole_rId1" DrawAspect="Content" ObjectID="_591333446" r:id="rId1"/>
            </w:object>
          </w:r>
        </w:p>
      </w:tc>
      <w:tc>
        <w:tcPr>
          <w:tcW w:w="397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0"/>
            <w:jc w:val="center"/>
            <w:rPr>
              <w:b/>
              <w:bCs/>
              <w:sz w:val="16"/>
              <w:szCs w:val="16"/>
            </w:rPr>
          </w:pPr>
          <w:r>
            <w:rPr>
              <w:rFonts w:eastAsia="Calibri" w:cs=""/>
              <w:b/>
              <w:bCs/>
              <w:kern w:val="0"/>
              <w:sz w:val="16"/>
              <w:szCs w:val="16"/>
              <w:lang w:val="pt-BR" w:eastAsia="en-US" w:bidi="ar-SA"/>
            </w:rPr>
            <w:t>SERVIÇO PÚBLICO FEDERAL</w:t>
          </w:r>
        </w:p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0" w:after="0"/>
            <w:jc w:val="center"/>
            <w:rPr>
              <w:b/>
              <w:bCs/>
              <w:sz w:val="16"/>
              <w:szCs w:val="16"/>
            </w:rPr>
          </w:pPr>
          <w:r>
            <w:rPr>
              <w:rFonts w:eastAsia="Calibri" w:cs=""/>
              <w:b/>
              <w:bCs/>
              <w:kern w:val="0"/>
              <w:sz w:val="16"/>
              <w:szCs w:val="16"/>
              <w:lang w:val="pt-BR" w:eastAsia="en-US" w:bidi="ar-SA"/>
            </w:rPr>
            <w:t>MINISTÉRIO DA EDUCAÇÃO</w:t>
          </w:r>
        </w:p>
        <w:p>
          <w:pPr>
            <w:pStyle w:val="Header"/>
            <w:widowControl/>
            <w:jc w:val="center"/>
            <w:rPr>
              <w:b/>
              <w:sz w:val="16"/>
              <w:szCs w:val="16"/>
            </w:rPr>
          </w:pPr>
          <w:r>
            <w:rPr>
              <w:rFonts w:eastAsia="Calibri" w:cs=""/>
              <w:b/>
              <w:kern w:val="0"/>
              <w:sz w:val="16"/>
              <w:szCs w:val="16"/>
              <w:lang w:val="pt-BR" w:eastAsia="en-US" w:bidi="ar-SA"/>
            </w:rPr>
            <w:t>UNIVERSIDADE FEDERAL DE CATALÃO</w:t>
          </w:r>
        </w:p>
        <w:p>
          <w:pPr>
            <w:pStyle w:val="Normal"/>
            <w:widowControl/>
            <w:spacing w:before="0" w:after="0"/>
            <w:jc w:val="center"/>
            <w:rPr>
              <w:rStyle w:val="Strong"/>
              <w:sz w:val="16"/>
              <w:szCs w:val="16"/>
            </w:rPr>
          </w:pPr>
          <w:r>
            <w:rPr>
              <w:rStyle w:val="Strong"/>
              <w:rFonts w:eastAsia="Calibri" w:cs=""/>
              <w:kern w:val="0"/>
              <w:sz w:val="16"/>
              <w:szCs w:val="16"/>
              <w:lang w:val="pt-BR" w:eastAsia="en-US" w:bidi="ar-SA"/>
            </w:rPr>
            <w:t>Programa de Pós-Graduação em Gestão Organizacional</w:t>
          </w:r>
        </w:p>
        <w:p>
          <w:pPr>
            <w:pStyle w:val="Normal"/>
            <w:widowControl/>
            <w:spacing w:before="0" w:after="0"/>
            <w:jc w:val="center"/>
            <w:rPr>
              <w:b/>
              <w:i/>
              <w:i/>
              <w:iCs/>
              <w:sz w:val="16"/>
              <w:szCs w:val="16"/>
            </w:rPr>
          </w:pPr>
          <w:r>
            <w:rPr>
              <w:rFonts w:eastAsia="Calibri" w:cs=""/>
              <w:b/>
              <w:kern w:val="0"/>
              <w:sz w:val="16"/>
              <w:szCs w:val="16"/>
              <w:lang w:val="pt-BR" w:eastAsia="en-US" w:bidi="ar-SA"/>
            </w:rPr>
            <w:t>Mestrado Profissional e</w:t>
          </w:r>
          <w:r>
            <w:rPr>
              <w:rFonts w:eastAsia="Calibri" w:cs=""/>
              <w:b/>
              <w:i/>
              <w:iCs/>
              <w:kern w:val="0"/>
              <w:sz w:val="16"/>
              <w:szCs w:val="16"/>
              <w:lang w:val="pt-BR" w:eastAsia="en-US" w:bidi="ar-SA"/>
            </w:rPr>
            <w:t>m Gestão Organizacional</w:t>
          </w:r>
        </w:p>
        <w:p>
          <w:pPr>
            <w:pStyle w:val="Normal"/>
            <w:widowControl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rFonts w:eastAsia="Calibri" w:cs=""/>
              <w:b/>
              <w:kern w:val="0"/>
              <w:sz w:val="16"/>
              <w:szCs w:val="16"/>
              <w:lang w:val="pt-BR" w:eastAsia="en-US" w:bidi="ar-SA"/>
            </w:rPr>
            <w:t>ppggo.cgen@ufcat.edu.br</w:t>
          </w:r>
        </w:p>
      </w:tc>
      <w:tc>
        <w:tcPr>
          <w:tcW w:w="240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12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 w:cs="Times New Roman" w:ascii="Times New Roman" w:hAnsi="Times New Roman"/>
              <w:kern w:val="0"/>
              <w:sz w:val="16"/>
              <w:szCs w:val="16"/>
              <w:lang w:val="pt-BR" w:eastAsia="en-US" w:bidi="ar-SA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/>
              <w:kern w:val="0"/>
              <w:lang w:val="pt-BR" w:eastAsia="en-US" w:bidi="ar-SA"/>
            </w:rPr>
            <w:drawing>
              <wp:inline distT="0" distB="0" distL="0" distR="0">
                <wp:extent cx="1250950" cy="530225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121" w:type="dxa"/>
          <w:tcBorders>
            <w:top w:val="nil"/>
            <w:left w:val="nil"/>
            <w:bottom w:val="single" w:sz="12" w:space="0" w:color="000000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12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 w:cs="Times New Roman" w:ascii="Times New Roman" w:hAnsi="Times New Roman"/>
              <w:kern w:val="0"/>
              <w:sz w:val="16"/>
              <w:szCs w:val="16"/>
              <w:lang w:val="pt-BR" w:eastAsia="en-US" w:bidi="ar-SA"/>
            </w:rPr>
          </w:r>
        </w:p>
      </w:tc>
      <w:tc>
        <w:tcPr>
          <w:tcW w:w="3970" w:type="dxa"/>
          <w:tcBorders>
            <w:top w:val="nil"/>
            <w:left w:val="nil"/>
            <w:bottom w:val="single" w:sz="12" w:space="0" w:color="000000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120" w:after="0"/>
            <w:jc w:val="center"/>
            <w:rPr>
              <w:b/>
              <w:bCs/>
              <w:sz w:val="16"/>
              <w:szCs w:val="16"/>
            </w:rPr>
          </w:pPr>
          <w:r>
            <w:rPr>
              <w:rFonts w:eastAsia="Calibri" w:cs=""/>
              <w:b/>
              <w:bCs/>
              <w:kern w:val="0"/>
              <w:sz w:val="16"/>
              <w:szCs w:val="16"/>
              <w:lang w:val="pt-BR" w:eastAsia="en-US" w:bidi="ar-SA"/>
            </w:rPr>
          </w:r>
        </w:p>
      </w:tc>
      <w:tc>
        <w:tcPr>
          <w:tcW w:w="2403" w:type="dxa"/>
          <w:tcBorders>
            <w:top w:val="nil"/>
            <w:left w:val="nil"/>
            <w:bottom w:val="single" w:sz="12" w:space="0" w:color="000000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before="12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eastAsia="Calibri" w:cs="Times New Roman" w:ascii="Times New Roman" w:hAnsi="Times New Roman"/>
              <w:kern w:val="0"/>
              <w:sz w:val="16"/>
              <w:szCs w:val="16"/>
              <w:lang w:val="pt-BR" w:eastAsia="en-US" w:bidi="ar-SA"/>
            </w:rPr>
          </w:r>
          <w:bookmarkStart w:id="0" w:name="_Hlk173939517"/>
          <w:bookmarkStart w:id="1" w:name="_Hlk173939517"/>
          <w:bookmarkEnd w:id="1"/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3bae"/>
    <w:pPr>
      <w:widowControl/>
      <w:bidi w:val="0"/>
      <w:spacing w:before="12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4">
    <w:name w:val="Heading 4"/>
    <w:basedOn w:val="Normal"/>
    <w:next w:val="Normal"/>
    <w:link w:val="Ttulo4Char"/>
    <w:qFormat/>
    <w:rsid w:val="00540834"/>
    <w:pPr>
      <w:keepNext w:val="true"/>
      <w:numPr>
        <w:ilvl w:val="3"/>
        <w:numId w:val="1"/>
      </w:numPr>
      <w:suppressAutoHyphens w:val="true"/>
      <w:spacing w:before="0" w:after="0"/>
      <w:jc w:val="center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qFormat/>
    <w:rsid w:val="00540834"/>
    <w:pPr>
      <w:keepNext w:val="true"/>
      <w:numPr>
        <w:ilvl w:val="4"/>
        <w:numId w:val="1"/>
      </w:numPr>
      <w:suppressAutoHyphens w:val="true"/>
      <w:spacing w:before="0" w:after="0"/>
      <w:ind w:left="1426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har"/>
    <w:qFormat/>
    <w:rsid w:val="00540834"/>
    <w:pPr>
      <w:keepNext w:val="true"/>
      <w:numPr>
        <w:ilvl w:val="5"/>
        <w:numId w:val="1"/>
      </w:numPr>
      <w:suppressAutoHyphens w:val="true"/>
      <w:spacing w:before="0" w:after="0"/>
      <w:ind w:left="1426"/>
      <w:jc w:val="left"/>
      <w:outlineLvl w:val="5"/>
    </w:pPr>
    <w:rPr>
      <w:rFonts w:ascii="Calibri" w:hAnsi="Calibri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c9080f"/>
    <w:rPr/>
  </w:style>
  <w:style w:type="character" w:styleId="RodapChar" w:customStyle="1">
    <w:name w:val="Rodapé Char"/>
    <w:basedOn w:val="DefaultParagraphFont"/>
    <w:uiPriority w:val="99"/>
    <w:qFormat/>
    <w:rsid w:val="00c9080f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0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9080f"/>
    <w:rPr>
      <w:b/>
      <w:bCs/>
    </w:rPr>
  </w:style>
  <w:style w:type="character" w:styleId="Ttulo4Char" w:customStyle="1">
    <w:name w:val="Título 4 Char"/>
    <w:basedOn w:val="DefaultParagraphFont"/>
    <w:qFormat/>
    <w:rsid w:val="00540834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basedOn w:val="DefaultParagraphFont"/>
    <w:qFormat/>
    <w:rsid w:val="0054083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qFormat/>
    <w:rsid w:val="00540834"/>
    <w:rPr>
      <w:rFonts w:ascii="Calibri" w:hAnsi="Calibri" w:eastAsia="Times New Roman" w:cs="Times New Roman"/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c9080f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c9080f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0f"/>
    <w:pPr>
      <w:spacing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c9080f"/>
    <w:pPr>
      <w:widowControl w:val="false"/>
      <w:bidi w:val="0"/>
      <w:spacing w:before="0" w:after="0"/>
      <w:jc w:val="left"/>
    </w:pPr>
    <w:rPr>
      <w:rFonts w:ascii="TTE19AA008t00" w:hAnsi="TTE19AA008t00" w:eastAsia="Times New Roman" w:cs="TTE19AA008t00"/>
      <w:color w:val="000000"/>
      <w:kern w:val="0"/>
      <w:sz w:val="24"/>
      <w:szCs w:val="24"/>
      <w:lang w:eastAsia="pt-BR" w:val="pt-BR" w:bidi="ar-SA"/>
    </w:rPr>
  </w:style>
  <w:style w:type="paragraph" w:styleId="CM1" w:customStyle="1">
    <w:name w:val="CM1"/>
    <w:basedOn w:val="Default"/>
    <w:next w:val="Default"/>
    <w:uiPriority w:val="99"/>
    <w:qFormat/>
    <w:rsid w:val="00017fca"/>
    <w:pPr>
      <w:spacing w:lineRule="atLeast" w:line="243"/>
    </w:pPr>
    <w:rPr>
      <w:color w:val="auto"/>
    </w:rPr>
  </w:style>
  <w:style w:type="paragraph" w:styleId="CM6" w:customStyle="1">
    <w:name w:val="CM6"/>
    <w:basedOn w:val="Default"/>
    <w:next w:val="Default"/>
    <w:uiPriority w:val="99"/>
    <w:qFormat/>
    <w:rsid w:val="00017fca"/>
    <w:pPr/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40103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8EFB-0D9A-449B-A58F-372D0CA9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LibreOffice/7.6.4.1$Windows_X86_64 LibreOffice_project/e19e193f88cd6c0525a17fb7a176ed8e6a3e2aa1</Application>
  <AppVersion>15.0000</AppVersion>
  <DocSecurity>0</DocSecurity>
  <Pages>3</Pages>
  <Words>591</Words>
  <Characters>3468</Characters>
  <CharactersWithSpaces>4029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2024-08-07T13:01:00Z</dcterms:created>
  <dc:creator>User</dc:creator>
  <dc:description/>
  <dc:language>pt-BR</dc:language>
  <cp:lastModifiedBy/>
  <dcterms:modified xsi:type="dcterms:W3CDTF">2025-06-04T09:23:08Z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